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A051B02" wp14:editId="40EA032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F23A16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F23A16" w:rsidTr="0058543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F23A16" w:rsidRPr="007C1170" w:rsidRDefault="00F23A16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F23A16" w:rsidRPr="007C1170" w:rsidRDefault="00F23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F23A16" w:rsidRPr="007C1170" w:rsidRDefault="00F23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F23A16" w:rsidRDefault="00F23A16"/>
        </w:tc>
        <w:tc>
          <w:tcPr>
            <w:tcW w:w="4989" w:type="dxa"/>
            <w:vMerge/>
          </w:tcPr>
          <w:p w:rsidR="00F23A16" w:rsidRDefault="00F23A16"/>
        </w:tc>
      </w:tr>
      <w:tr w:rsidR="00F23A16" w:rsidTr="0058543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F23A16" w:rsidRDefault="00F23A16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F23A16" w:rsidRDefault="00F23A16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F23A16" w:rsidRDefault="00F23A16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F23A16" w:rsidRDefault="00F23A16"/>
        </w:tc>
        <w:tc>
          <w:tcPr>
            <w:tcW w:w="4989" w:type="dxa"/>
            <w:vMerge/>
          </w:tcPr>
          <w:p w:rsidR="00F23A16" w:rsidRDefault="00F23A16"/>
        </w:tc>
      </w:tr>
      <w:tr w:rsidR="00F23A16" w:rsidTr="00DA7BB1">
        <w:trPr>
          <w:trHeight w:hRule="exact" w:val="381"/>
        </w:trPr>
        <w:tc>
          <w:tcPr>
            <w:tcW w:w="909" w:type="dxa"/>
            <w:vAlign w:val="bottom"/>
          </w:tcPr>
          <w:p w:rsidR="00F23A16" w:rsidRDefault="00F23A1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F23A16" w:rsidRDefault="00F23A1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F23A16" w:rsidRDefault="00F23A16"/>
        </w:tc>
        <w:tc>
          <w:tcPr>
            <w:tcW w:w="4989" w:type="dxa"/>
            <w:vMerge/>
          </w:tcPr>
          <w:p w:rsidR="00F23A16" w:rsidRDefault="00F23A16"/>
        </w:tc>
      </w:tr>
      <w:tr w:rsidR="00F23A16" w:rsidTr="00DA7BB1">
        <w:trPr>
          <w:trHeight w:hRule="exact" w:val="227"/>
        </w:trPr>
        <w:tc>
          <w:tcPr>
            <w:tcW w:w="909" w:type="dxa"/>
            <w:vAlign w:val="bottom"/>
          </w:tcPr>
          <w:p w:rsidR="00F23A16" w:rsidRDefault="00F23A16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F23A16" w:rsidRDefault="00F23A16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F23A16" w:rsidRDefault="00F23A16"/>
        </w:tc>
        <w:tc>
          <w:tcPr>
            <w:tcW w:w="4989" w:type="dxa"/>
            <w:vMerge/>
          </w:tcPr>
          <w:p w:rsidR="00F23A16" w:rsidRDefault="00F23A16"/>
        </w:tc>
      </w:tr>
    </w:tbl>
    <w:p w:rsidR="00876DB5" w:rsidRPr="00262E92" w:rsidRDefault="00F23A16" w:rsidP="00F23A16">
      <w:pPr>
        <w:rPr>
          <w:sz w:val="24"/>
          <w:szCs w:val="24"/>
        </w:rPr>
      </w:pPr>
      <w:r>
        <w:t xml:space="preserve"> </w:t>
      </w:r>
    </w:p>
    <w:p w:rsidR="00FC5869" w:rsidRPr="00262E92" w:rsidRDefault="00FC5869" w:rsidP="00FC5869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262E92">
        <w:rPr>
          <w:b/>
          <w:color w:val="000000" w:themeColor="text1"/>
          <w:sz w:val="24"/>
          <w:szCs w:val="24"/>
        </w:rPr>
        <w:t>Единый налоговый платеж – что это и почему это удобно?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>Единый налоговый платеж (ЕНП)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 транспортный налог, земельный налог, налог на имущество физических лиц,       налог на доходы физических лиц.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>Перечисленные налоги можно единым платежом – досрочно внести на счет Федерального казначейства для дальнейшего зачета по сроку уплаты налогов либо в счет налоговой задолженности.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Сроки проведения зачета ЕНП в счет предстоящих платежей в случае отсутствия недоимки и задолженности в течение 10 дней: </w:t>
      </w:r>
    </w:p>
    <w:p w:rsidR="00FC5869" w:rsidRPr="00262E92" w:rsidRDefault="00FC5869" w:rsidP="00FC5869">
      <w:pPr>
        <w:numPr>
          <w:ilvl w:val="0"/>
          <w:numId w:val="2"/>
        </w:num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:rsidR="00FC5869" w:rsidRPr="00262E92" w:rsidRDefault="00FC5869" w:rsidP="00FC5869">
      <w:pPr>
        <w:numPr>
          <w:ilvl w:val="0"/>
          <w:numId w:val="2"/>
        </w:num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 Единый налоговый платеж является аналогом электронного кошелька гражданина, в который он может добровольно перечислить деньги для уплаты налогов. 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 xml:space="preserve">Электронный кошелек можно пополнить через Личный кабинет или воспользоваться сервисами в разделе «Уплата налогов и пошлин» на сайте ФНС России. </w:t>
      </w:r>
    </w:p>
    <w:p w:rsidR="00FC5869" w:rsidRPr="00262E92" w:rsidRDefault="00FC5869" w:rsidP="00FC5869">
      <w:pPr>
        <w:ind w:firstLine="709"/>
        <w:jc w:val="both"/>
        <w:rPr>
          <w:color w:val="000000" w:themeColor="text1"/>
          <w:sz w:val="24"/>
          <w:szCs w:val="24"/>
        </w:rPr>
      </w:pPr>
      <w:r w:rsidRPr="00262E92">
        <w:rPr>
          <w:color w:val="000000" w:themeColor="text1"/>
          <w:sz w:val="24"/>
          <w:szCs w:val="24"/>
        </w:rPr>
        <w:t>Добровольное перечисление ЕНП позволяет физическому лицу своевременно подготовиться к обязательной уплате налогов, не дожидаясь налогового уведомления. Кроме того, такой авансовый платеж поможет избежать нарушения сроков их уплаты и, как следствие, начисление пеней.</w:t>
      </w:r>
      <w:r w:rsidR="00262E92" w:rsidRPr="00262E92">
        <w:rPr>
          <w:color w:val="000000" w:themeColor="text1"/>
          <w:sz w:val="24"/>
          <w:szCs w:val="24"/>
        </w:rPr>
        <w:t xml:space="preserve"> С</w:t>
      </w:r>
      <w:r w:rsidRPr="00262E92">
        <w:rPr>
          <w:color w:val="000000" w:themeColor="text1"/>
          <w:sz w:val="24"/>
          <w:szCs w:val="24"/>
        </w:rPr>
        <w:t>амостоятельно перечисляя ЕНП отдельными платежами, налогоплательщик может равномерно распределить налоговую нагрузку в течение всего календарного года. При этом разбивать переводимую сумму денежных средств по видам налогов не требуется. Такой механизм очень удобен для тех налогоплательщиков, у которых есть обязанность по уплате нескольких видов имущественных налогов.</w:t>
      </w:r>
    </w:p>
    <w:p w:rsidR="00FC5869" w:rsidRPr="00262E92" w:rsidRDefault="00FC5869" w:rsidP="00FC5869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62E92">
        <w:rPr>
          <w:sz w:val="24"/>
          <w:szCs w:val="24"/>
        </w:rPr>
        <w:t>Удобство исполнения своих налоговых обязанностей путем перечисления единого налогового платежа связано и с тем, что вы самостоятельно определяете периодичность внесения средств. Примерно зная размер своих налоговых обязательств, вы можете распределить их уплату во времени и выбрать комфортную лично для вас схему оплаты налогов до истечения крайнего срока уплаты, установленного законом.</w:t>
      </w:r>
    </w:p>
    <w:p w:rsidR="00837287" w:rsidRPr="00262E92" w:rsidRDefault="00837287" w:rsidP="00837287">
      <w:pPr>
        <w:ind w:firstLine="709"/>
        <w:jc w:val="both"/>
        <w:rPr>
          <w:sz w:val="24"/>
          <w:szCs w:val="24"/>
        </w:rPr>
      </w:pPr>
      <w:r w:rsidRPr="00262E92">
        <w:rPr>
          <w:sz w:val="24"/>
          <w:szCs w:val="24"/>
        </w:rPr>
        <w:t>Благодарим за сотрудничество.</w:t>
      </w:r>
    </w:p>
    <w:p w:rsidR="00262E92" w:rsidRDefault="00262E92" w:rsidP="00841697">
      <w:pPr>
        <w:rPr>
          <w:sz w:val="24"/>
          <w:szCs w:val="24"/>
        </w:rPr>
      </w:pPr>
    </w:p>
    <w:p w:rsidR="00560162" w:rsidRDefault="00560162" w:rsidP="00841697">
      <w:pPr>
        <w:rPr>
          <w:sz w:val="24"/>
          <w:szCs w:val="24"/>
        </w:rPr>
      </w:pPr>
    </w:p>
    <w:p w:rsidR="00560162" w:rsidRPr="00262E92" w:rsidRDefault="00560162" w:rsidP="00841697">
      <w:pPr>
        <w:rPr>
          <w:sz w:val="24"/>
          <w:szCs w:val="24"/>
        </w:rPr>
      </w:pPr>
    </w:p>
    <w:p w:rsidR="00841697" w:rsidRPr="00262E92" w:rsidRDefault="00EB1061" w:rsidP="00841697">
      <w:pPr>
        <w:rPr>
          <w:sz w:val="24"/>
          <w:szCs w:val="24"/>
        </w:rPr>
      </w:pPr>
      <w:r w:rsidRPr="00262E92">
        <w:rPr>
          <w:sz w:val="24"/>
          <w:szCs w:val="24"/>
        </w:rPr>
        <w:lastRenderedPageBreak/>
        <w:t>С</w:t>
      </w:r>
      <w:r w:rsidR="00841697" w:rsidRPr="00262E92">
        <w:rPr>
          <w:sz w:val="24"/>
          <w:szCs w:val="24"/>
        </w:rPr>
        <w:t xml:space="preserve">оветник </w:t>
      </w:r>
      <w:proofErr w:type="gramStart"/>
      <w:r w:rsidR="00841697" w:rsidRPr="00262E92">
        <w:rPr>
          <w:sz w:val="24"/>
          <w:szCs w:val="24"/>
        </w:rPr>
        <w:t>государственной</w:t>
      </w:r>
      <w:proofErr w:type="gramEnd"/>
      <w:r w:rsidR="00841697" w:rsidRPr="00262E92">
        <w:rPr>
          <w:sz w:val="24"/>
          <w:szCs w:val="24"/>
        </w:rPr>
        <w:t xml:space="preserve"> гражданской</w:t>
      </w:r>
    </w:p>
    <w:p w:rsidR="00B969E8" w:rsidRPr="00262E92" w:rsidRDefault="00841697" w:rsidP="00EB1061">
      <w:pPr>
        <w:tabs>
          <w:tab w:val="left" w:pos="8222"/>
        </w:tabs>
        <w:rPr>
          <w:sz w:val="24"/>
          <w:szCs w:val="24"/>
        </w:rPr>
      </w:pPr>
      <w:r w:rsidRPr="00262E92">
        <w:rPr>
          <w:sz w:val="24"/>
          <w:szCs w:val="24"/>
        </w:rPr>
        <w:t>службы Российской Федерации 2 класса</w:t>
      </w:r>
      <w:r w:rsidRPr="00262E92">
        <w:rPr>
          <w:sz w:val="24"/>
          <w:szCs w:val="24"/>
        </w:rPr>
        <w:tab/>
        <w:t xml:space="preserve">А. </w:t>
      </w:r>
      <w:r w:rsidR="00837287" w:rsidRPr="00262E92">
        <w:rPr>
          <w:sz w:val="24"/>
          <w:szCs w:val="24"/>
        </w:rPr>
        <w:t>А</w:t>
      </w:r>
      <w:r w:rsidRPr="00262E92">
        <w:rPr>
          <w:sz w:val="24"/>
          <w:szCs w:val="24"/>
        </w:rPr>
        <w:t xml:space="preserve">. </w:t>
      </w:r>
      <w:r w:rsidR="00837287" w:rsidRPr="00262E92">
        <w:rPr>
          <w:sz w:val="24"/>
          <w:szCs w:val="24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94" w:rsidRDefault="00D00494">
      <w:r>
        <w:separator/>
      </w:r>
    </w:p>
  </w:endnote>
  <w:endnote w:type="continuationSeparator" w:id="0">
    <w:p w:rsidR="00D00494" w:rsidRDefault="00D0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94" w:rsidRDefault="00D00494">
      <w:r>
        <w:separator/>
      </w:r>
    </w:p>
  </w:footnote>
  <w:footnote w:type="continuationSeparator" w:id="0">
    <w:p w:rsidR="00D00494" w:rsidRDefault="00D0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2306B3"/>
    <w:rsid w:val="00262E92"/>
    <w:rsid w:val="002665C7"/>
    <w:rsid w:val="0029678E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0162"/>
    <w:rsid w:val="0056153C"/>
    <w:rsid w:val="005A5E58"/>
    <w:rsid w:val="00631014"/>
    <w:rsid w:val="006322B6"/>
    <w:rsid w:val="006806F2"/>
    <w:rsid w:val="006D3F2A"/>
    <w:rsid w:val="006D4649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C1617"/>
    <w:rsid w:val="00AC71E0"/>
    <w:rsid w:val="00B44A2E"/>
    <w:rsid w:val="00B969E8"/>
    <w:rsid w:val="00BA19AF"/>
    <w:rsid w:val="00BB69DD"/>
    <w:rsid w:val="00CC50A9"/>
    <w:rsid w:val="00D00494"/>
    <w:rsid w:val="00D71E76"/>
    <w:rsid w:val="00D977DC"/>
    <w:rsid w:val="00DA3107"/>
    <w:rsid w:val="00DB7EF6"/>
    <w:rsid w:val="00EB1061"/>
    <w:rsid w:val="00F23A16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2021-08-25T12:50:00Z</dcterms:created>
  <dcterms:modified xsi:type="dcterms:W3CDTF">2021-08-25T12:50:00Z</dcterms:modified>
</cp:coreProperties>
</file>