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909"/>
        <w:gridCol w:w="505"/>
        <w:gridCol w:w="404"/>
        <w:gridCol w:w="2322"/>
        <w:gridCol w:w="1077"/>
        <w:gridCol w:w="4989"/>
      </w:tblGrid>
      <w:tr w:rsidR="00C672A9">
        <w:trPr>
          <w:trHeight w:hRule="exact" w:val="1021"/>
        </w:trPr>
        <w:tc>
          <w:tcPr>
            <w:tcW w:w="4140" w:type="dxa"/>
            <w:gridSpan w:val="4"/>
          </w:tcPr>
          <w:p w:rsidR="00C672A9" w:rsidRDefault="00941488">
            <w:pPr>
              <w:jc w:val="center"/>
              <w:rPr>
                <w:rFonts w:ascii="Times Roman" w:hAnsi="Times Roman"/>
              </w:rPr>
            </w:pPr>
            <w:r>
              <w:rPr>
                <w:noProof/>
                <w:sz w:val="18"/>
              </w:rPr>
              <w:drawing>
                <wp:inline distT="0" distB="0" distL="0" distR="0" wp14:anchorId="75DC4559" wp14:editId="1E5D59FA">
                  <wp:extent cx="647700" cy="647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47700" cy="647700"/>
                          </a:xfrm>
                          <a:prstGeom prst="rect">
                            <a:avLst/>
                          </a:prstGeom>
                        </pic:spPr>
                      </pic:pic>
                    </a:graphicData>
                  </a:graphic>
                </wp:inline>
              </w:drawing>
            </w:r>
          </w:p>
        </w:tc>
        <w:tc>
          <w:tcPr>
            <w:tcW w:w="1077" w:type="dxa"/>
          </w:tcPr>
          <w:p w:rsidR="00C672A9" w:rsidRDefault="00C672A9">
            <w:pPr>
              <w:rPr>
                <w:rFonts w:ascii="Times Roman" w:hAnsi="Times Roman"/>
              </w:rPr>
            </w:pPr>
          </w:p>
        </w:tc>
        <w:tc>
          <w:tcPr>
            <w:tcW w:w="4989" w:type="dxa"/>
          </w:tcPr>
          <w:p w:rsidR="00C672A9" w:rsidRDefault="00C672A9">
            <w:pPr>
              <w:ind w:firstLine="1418"/>
              <w:rPr>
                <w:rFonts w:ascii="Times Roman" w:hAnsi="Times Roman"/>
                <w:sz w:val="28"/>
              </w:rPr>
            </w:pPr>
          </w:p>
        </w:tc>
      </w:tr>
      <w:tr w:rsidR="00C672A9">
        <w:trPr>
          <w:trHeight w:hRule="exact" w:val="2803"/>
        </w:trPr>
        <w:tc>
          <w:tcPr>
            <w:tcW w:w="4140" w:type="dxa"/>
            <w:gridSpan w:val="4"/>
            <w:vAlign w:val="center"/>
          </w:tcPr>
          <w:p w:rsidR="00C672A9" w:rsidRDefault="00941488">
            <w:pPr>
              <w:jc w:val="center"/>
              <w:rPr>
                <w:rFonts w:ascii="Times Roman" w:hAnsi="Times Roman"/>
                <w:sz w:val="20"/>
              </w:rPr>
            </w:pPr>
            <w:r>
              <w:rPr>
                <w:sz w:val="20"/>
              </w:rPr>
              <w:t>МИНФИН</w:t>
            </w:r>
            <w:r>
              <w:rPr>
                <w:rFonts w:ascii="Times Roman" w:hAnsi="Times Roman"/>
                <w:sz w:val="20"/>
              </w:rPr>
              <w:t xml:space="preserve"> </w:t>
            </w:r>
            <w:r>
              <w:rPr>
                <w:sz w:val="20"/>
              </w:rPr>
              <w:t>РОССИИ</w:t>
            </w:r>
          </w:p>
          <w:p w:rsidR="00C672A9" w:rsidRDefault="00941488">
            <w:pPr>
              <w:jc w:val="center"/>
              <w:rPr>
                <w:rFonts w:ascii="Times Roman" w:hAnsi="Times Roman"/>
                <w:sz w:val="20"/>
              </w:rPr>
            </w:pPr>
            <w:r>
              <w:rPr>
                <w:sz w:val="20"/>
              </w:rPr>
              <w:t>ФЕДЕРАЛЬНАЯ</w:t>
            </w:r>
            <w:r>
              <w:rPr>
                <w:rFonts w:ascii="Times Roman" w:hAnsi="Times Roman"/>
                <w:sz w:val="20"/>
              </w:rPr>
              <w:t xml:space="preserve"> </w:t>
            </w:r>
            <w:r>
              <w:rPr>
                <w:sz w:val="20"/>
              </w:rPr>
              <w:t>НАЛОГОВАЯСЛУЖБА</w:t>
            </w:r>
          </w:p>
          <w:p w:rsidR="00C672A9" w:rsidRDefault="00941488">
            <w:pPr>
              <w:jc w:val="center"/>
              <w:rPr>
                <w:rFonts w:ascii="Times Roman" w:hAnsi="Times Roman"/>
                <w:sz w:val="18"/>
              </w:rPr>
            </w:pPr>
            <w:r>
              <w:rPr>
                <w:sz w:val="18"/>
              </w:rPr>
              <w:t>УФНС</w:t>
            </w:r>
            <w:r>
              <w:rPr>
                <w:rFonts w:ascii="Times Roman" w:hAnsi="Times Roman"/>
                <w:sz w:val="18"/>
              </w:rPr>
              <w:t xml:space="preserve"> </w:t>
            </w:r>
            <w:r>
              <w:rPr>
                <w:sz w:val="18"/>
              </w:rPr>
              <w:t>РОССИИ</w:t>
            </w:r>
            <w:r>
              <w:rPr>
                <w:rFonts w:ascii="Times Roman" w:hAnsi="Times Roman"/>
                <w:sz w:val="18"/>
              </w:rPr>
              <w:t xml:space="preserve"> </w:t>
            </w:r>
            <w:r>
              <w:rPr>
                <w:sz w:val="18"/>
              </w:rPr>
              <w:t>ПО</w:t>
            </w:r>
            <w:r>
              <w:rPr>
                <w:rFonts w:ascii="Times Roman" w:hAnsi="Times Roman"/>
                <w:sz w:val="18"/>
              </w:rPr>
              <w:t xml:space="preserve"> </w:t>
            </w:r>
            <w:r>
              <w:rPr>
                <w:sz w:val="18"/>
              </w:rPr>
              <w:t>ОРЛОВСКОЙ</w:t>
            </w:r>
            <w:r>
              <w:rPr>
                <w:rFonts w:ascii="Times Roman" w:hAnsi="Times Roman"/>
                <w:sz w:val="18"/>
              </w:rPr>
              <w:t xml:space="preserve"> </w:t>
            </w:r>
            <w:r>
              <w:rPr>
                <w:sz w:val="18"/>
              </w:rPr>
              <w:t>ОБЛАСТИ</w:t>
            </w:r>
          </w:p>
          <w:p w:rsidR="00C672A9" w:rsidRDefault="00C672A9">
            <w:pPr>
              <w:tabs>
                <w:tab w:val="left" w:pos="4180"/>
              </w:tabs>
              <w:jc w:val="center"/>
              <w:rPr>
                <w:rFonts w:ascii="Times Roman" w:hAnsi="Times Roman"/>
                <w:sz w:val="8"/>
              </w:rPr>
            </w:pPr>
          </w:p>
          <w:p w:rsidR="00C672A9" w:rsidRDefault="00941488">
            <w:pPr>
              <w:jc w:val="center"/>
              <w:rPr>
                <w:rFonts w:ascii="Times Roman" w:hAnsi="Times Roman"/>
                <w:b/>
                <w:sz w:val="16"/>
              </w:rPr>
            </w:pPr>
            <w:r>
              <w:rPr>
                <w:b/>
                <w:sz w:val="16"/>
              </w:rPr>
              <w:t>МЕЖРАЙОННАЯ</w:t>
            </w:r>
            <w:r>
              <w:rPr>
                <w:rFonts w:ascii="Times Roman" w:hAnsi="Times Roman"/>
                <w:b/>
                <w:sz w:val="16"/>
              </w:rPr>
              <w:t xml:space="preserve"> </w:t>
            </w:r>
            <w:r>
              <w:rPr>
                <w:b/>
                <w:sz w:val="16"/>
              </w:rPr>
              <w:t>ИНСПЕКЦИЯ</w:t>
            </w:r>
          </w:p>
          <w:p w:rsidR="00C672A9" w:rsidRDefault="00941488">
            <w:pPr>
              <w:jc w:val="center"/>
              <w:rPr>
                <w:rFonts w:ascii="Times Roman" w:hAnsi="Times Roman"/>
                <w:b/>
                <w:sz w:val="16"/>
              </w:rPr>
            </w:pPr>
            <w:r>
              <w:rPr>
                <w:b/>
                <w:sz w:val="16"/>
              </w:rPr>
              <w:t>ФЕДЕРАЛЬНОЙ</w:t>
            </w:r>
            <w:r>
              <w:rPr>
                <w:rFonts w:ascii="Times Roman" w:hAnsi="Times Roman"/>
                <w:b/>
                <w:sz w:val="16"/>
              </w:rPr>
              <w:t xml:space="preserve"> </w:t>
            </w:r>
            <w:r>
              <w:rPr>
                <w:b/>
                <w:sz w:val="16"/>
              </w:rPr>
              <w:t>НАЛОГОВОЙ</w:t>
            </w:r>
            <w:r>
              <w:rPr>
                <w:rFonts w:ascii="Times Roman" w:hAnsi="Times Roman"/>
                <w:b/>
                <w:sz w:val="16"/>
              </w:rPr>
              <w:t xml:space="preserve"> </w:t>
            </w:r>
            <w:r>
              <w:rPr>
                <w:b/>
                <w:sz w:val="16"/>
              </w:rPr>
              <w:t>СЛУЖБЫ</w:t>
            </w:r>
            <w:r>
              <w:rPr>
                <w:rFonts w:ascii="Times Roman" w:hAnsi="Times Roman"/>
                <w:b/>
                <w:sz w:val="16"/>
              </w:rPr>
              <w:t xml:space="preserve"> </w:t>
            </w:r>
            <w:r>
              <w:rPr>
                <w:b/>
                <w:sz w:val="16"/>
              </w:rPr>
              <w:t>№</w:t>
            </w:r>
            <w:r>
              <w:rPr>
                <w:rFonts w:ascii="Times Roman" w:hAnsi="Times Roman"/>
                <w:b/>
                <w:sz w:val="16"/>
              </w:rPr>
              <w:t>8</w:t>
            </w:r>
          </w:p>
          <w:p w:rsidR="00C672A9" w:rsidRDefault="00941488">
            <w:pPr>
              <w:keepNext/>
              <w:jc w:val="center"/>
              <w:outlineLvl w:val="3"/>
              <w:rPr>
                <w:rFonts w:ascii="Times Roman" w:hAnsi="Times Roman"/>
                <w:b/>
                <w:sz w:val="16"/>
              </w:rPr>
            </w:pPr>
            <w:r>
              <w:rPr>
                <w:b/>
                <w:sz w:val="16"/>
              </w:rPr>
              <w:t>ПО</w:t>
            </w:r>
            <w:r>
              <w:rPr>
                <w:rFonts w:ascii="Times Roman" w:hAnsi="Times Roman"/>
                <w:b/>
                <w:sz w:val="16"/>
              </w:rPr>
              <w:t xml:space="preserve"> </w:t>
            </w:r>
            <w:r>
              <w:rPr>
                <w:b/>
                <w:sz w:val="16"/>
              </w:rPr>
              <w:t>ОРЛОВСКОЙ</w:t>
            </w:r>
            <w:r>
              <w:rPr>
                <w:rFonts w:ascii="Times Roman" w:hAnsi="Times Roman"/>
                <w:b/>
                <w:sz w:val="16"/>
              </w:rPr>
              <w:t xml:space="preserve"> </w:t>
            </w:r>
            <w:r>
              <w:rPr>
                <w:b/>
                <w:sz w:val="16"/>
              </w:rPr>
              <w:t>ОБЛАСТИ</w:t>
            </w:r>
          </w:p>
          <w:p w:rsidR="00C672A9" w:rsidRDefault="00941488">
            <w:pPr>
              <w:jc w:val="center"/>
              <w:rPr>
                <w:rFonts w:ascii="Calibri" w:hAnsi="Calibri"/>
                <w:sz w:val="16"/>
              </w:rPr>
            </w:pPr>
            <w:r>
              <w:rPr>
                <w:rFonts w:ascii="Times Roman" w:hAnsi="Times Roman"/>
                <w:sz w:val="16"/>
              </w:rPr>
              <w:t>(</w:t>
            </w:r>
            <w:proofErr w:type="gramStart"/>
            <w:r>
              <w:rPr>
                <w:sz w:val="16"/>
              </w:rPr>
              <w:t>Межрайонная</w:t>
            </w:r>
            <w:proofErr w:type="gramEnd"/>
            <w:r>
              <w:rPr>
                <w:rFonts w:ascii="Times Roman" w:hAnsi="Times Roman"/>
                <w:sz w:val="16"/>
              </w:rPr>
              <w:t xml:space="preserve"> </w:t>
            </w:r>
            <w:r>
              <w:rPr>
                <w:sz w:val="16"/>
              </w:rPr>
              <w:t>ИФНС</w:t>
            </w:r>
            <w:r>
              <w:rPr>
                <w:rFonts w:ascii="Times Roman" w:hAnsi="Times Roman"/>
                <w:sz w:val="16"/>
              </w:rPr>
              <w:t xml:space="preserve"> </w:t>
            </w:r>
            <w:r>
              <w:rPr>
                <w:sz w:val="16"/>
              </w:rPr>
              <w:t>России</w:t>
            </w:r>
            <w:r>
              <w:rPr>
                <w:rFonts w:ascii="Times Roman" w:hAnsi="Times Roman"/>
                <w:sz w:val="16"/>
              </w:rPr>
              <w:t xml:space="preserve"> </w:t>
            </w:r>
            <w:r>
              <w:rPr>
                <w:sz w:val="16"/>
              </w:rPr>
              <w:t>№</w:t>
            </w:r>
            <w:r>
              <w:rPr>
                <w:rFonts w:ascii="Times Roman" w:hAnsi="Times Roman"/>
                <w:sz w:val="16"/>
              </w:rPr>
              <w:t xml:space="preserve">8 </w:t>
            </w:r>
            <w:r>
              <w:rPr>
                <w:sz w:val="16"/>
              </w:rPr>
              <w:t>по</w:t>
            </w:r>
            <w:r>
              <w:rPr>
                <w:rFonts w:ascii="Times Roman" w:hAnsi="Times Roman"/>
                <w:sz w:val="16"/>
              </w:rPr>
              <w:t xml:space="preserve"> </w:t>
            </w:r>
            <w:r>
              <w:rPr>
                <w:sz w:val="16"/>
              </w:rPr>
              <w:t>Орловской</w:t>
            </w:r>
            <w:r>
              <w:rPr>
                <w:rFonts w:ascii="Times Roman" w:hAnsi="Times Roman"/>
                <w:sz w:val="16"/>
              </w:rPr>
              <w:t xml:space="preserve"> </w:t>
            </w:r>
            <w:r>
              <w:rPr>
                <w:sz w:val="16"/>
              </w:rPr>
              <w:t>области</w:t>
            </w:r>
            <w:r>
              <w:rPr>
                <w:rFonts w:ascii="Times Roman" w:hAnsi="Times Roman"/>
                <w:sz w:val="16"/>
              </w:rPr>
              <w:t>)</w:t>
            </w:r>
          </w:p>
          <w:p w:rsidR="00C672A9" w:rsidRDefault="00941488">
            <w:pPr>
              <w:jc w:val="center"/>
              <w:rPr>
                <w:b/>
                <w:sz w:val="16"/>
              </w:rPr>
            </w:pPr>
            <w:r>
              <w:rPr>
                <w:b/>
                <w:sz w:val="16"/>
              </w:rPr>
              <w:t>ЗАМЕСТИТЕЛЬ НАЧАЛЬНИКА ИНСПЕКЦИИ</w:t>
            </w:r>
          </w:p>
          <w:p w:rsidR="00C672A9" w:rsidRDefault="00941488">
            <w:pPr>
              <w:jc w:val="center"/>
              <w:rPr>
                <w:rFonts w:ascii="Times Roman" w:hAnsi="Times Roman"/>
                <w:sz w:val="16"/>
              </w:rPr>
            </w:pPr>
            <w:r>
              <w:rPr>
                <w:sz w:val="16"/>
              </w:rPr>
              <w:t>Московское</w:t>
            </w:r>
            <w:r>
              <w:rPr>
                <w:rFonts w:ascii="Times Roman" w:hAnsi="Times Roman"/>
                <w:sz w:val="16"/>
              </w:rPr>
              <w:t xml:space="preserve"> </w:t>
            </w:r>
            <w:r>
              <w:rPr>
                <w:sz w:val="16"/>
              </w:rPr>
              <w:t>шоссе</w:t>
            </w:r>
            <w:r>
              <w:rPr>
                <w:rFonts w:ascii="Times Roman" w:hAnsi="Times Roman"/>
                <w:sz w:val="16"/>
              </w:rPr>
              <w:t xml:space="preserve">, 119, </w:t>
            </w:r>
            <w:r>
              <w:rPr>
                <w:sz w:val="16"/>
              </w:rPr>
              <w:t>г</w:t>
            </w:r>
            <w:r>
              <w:rPr>
                <w:rFonts w:ascii="Times Roman" w:hAnsi="Times Roman"/>
                <w:sz w:val="16"/>
              </w:rPr>
              <w:t xml:space="preserve">. </w:t>
            </w:r>
            <w:r>
              <w:rPr>
                <w:sz w:val="16"/>
              </w:rPr>
              <w:t>Орёл</w:t>
            </w:r>
            <w:r>
              <w:rPr>
                <w:rFonts w:ascii="Times Roman" w:hAnsi="Times Roman"/>
                <w:sz w:val="16"/>
              </w:rPr>
              <w:t>, 302025,</w:t>
            </w:r>
          </w:p>
          <w:p w:rsidR="00C672A9" w:rsidRDefault="00941488">
            <w:pPr>
              <w:jc w:val="center"/>
              <w:rPr>
                <w:rFonts w:ascii="Times Roman" w:hAnsi="Times Roman"/>
                <w:sz w:val="16"/>
              </w:rPr>
            </w:pPr>
            <w:r>
              <w:rPr>
                <w:sz w:val="16"/>
              </w:rPr>
              <w:t>Телефон</w:t>
            </w:r>
            <w:r>
              <w:rPr>
                <w:rFonts w:ascii="Times Roman" w:hAnsi="Times Roman"/>
                <w:sz w:val="16"/>
              </w:rPr>
              <w:t xml:space="preserve">: (4862)39-23-30; </w:t>
            </w:r>
            <w:r>
              <w:rPr>
                <w:sz w:val="16"/>
              </w:rPr>
              <w:t>Телефакс</w:t>
            </w:r>
            <w:r>
              <w:rPr>
                <w:rFonts w:ascii="Times Roman" w:hAnsi="Times Roman"/>
                <w:sz w:val="16"/>
              </w:rPr>
              <w:t>: (4862)39-23-49;</w:t>
            </w:r>
          </w:p>
          <w:p w:rsidR="00C672A9" w:rsidRDefault="00941488">
            <w:pPr>
              <w:jc w:val="center"/>
              <w:rPr>
                <w:rFonts w:ascii="Times Roman" w:hAnsi="Times Roman"/>
                <w:b/>
                <w:sz w:val="16"/>
              </w:rPr>
            </w:pPr>
            <w:r>
              <w:rPr>
                <w:rFonts w:ascii="Times Roman" w:hAnsi="Times Roman"/>
                <w:sz w:val="16"/>
              </w:rPr>
              <w:t>www.nalog.gov.ru</w:t>
            </w:r>
          </w:p>
        </w:tc>
        <w:tc>
          <w:tcPr>
            <w:tcW w:w="1077" w:type="dxa"/>
            <w:vMerge w:val="restart"/>
          </w:tcPr>
          <w:p w:rsidR="00C672A9" w:rsidRDefault="00C672A9">
            <w:pPr>
              <w:rPr>
                <w:rFonts w:ascii="Times Roman" w:hAnsi="Times Roman"/>
                <w:sz w:val="12"/>
              </w:rPr>
            </w:pPr>
          </w:p>
        </w:tc>
        <w:tc>
          <w:tcPr>
            <w:tcW w:w="4989" w:type="dxa"/>
            <w:vMerge w:val="restart"/>
          </w:tcPr>
          <w:p w:rsidR="00C672A9" w:rsidRPr="00351D00" w:rsidRDefault="00601E93" w:rsidP="00A93BD5">
            <w:pPr>
              <w:pStyle w:val="af7"/>
              <w:jc w:val="center"/>
              <w:rPr>
                <w:rFonts w:ascii="Times Roman" w:hAnsi="Times Roman"/>
                <w:sz w:val="22"/>
                <w:szCs w:val="22"/>
              </w:rPr>
            </w:pPr>
            <w:r>
              <w:rPr>
                <w:sz w:val="22"/>
                <w:szCs w:val="22"/>
              </w:rPr>
              <w:t xml:space="preserve"> </w:t>
            </w:r>
          </w:p>
        </w:tc>
      </w:tr>
      <w:tr w:rsidR="00C672A9">
        <w:trPr>
          <w:trHeight w:hRule="exact" w:val="429"/>
        </w:trPr>
        <w:tc>
          <w:tcPr>
            <w:tcW w:w="1414" w:type="dxa"/>
            <w:gridSpan w:val="2"/>
            <w:tcBorders>
              <w:bottom w:val="single" w:sz="4" w:space="0" w:color="000000"/>
            </w:tcBorders>
            <w:vAlign w:val="bottom"/>
          </w:tcPr>
          <w:p w:rsidR="00C672A9" w:rsidRDefault="00941488">
            <w:pPr>
              <w:rPr>
                <w:sz w:val="24"/>
              </w:rPr>
            </w:pPr>
            <w:r>
              <w:rPr>
                <w:sz w:val="24"/>
              </w:rPr>
              <w:t xml:space="preserve">      </w:t>
            </w:r>
          </w:p>
        </w:tc>
        <w:tc>
          <w:tcPr>
            <w:tcW w:w="404" w:type="dxa"/>
            <w:vAlign w:val="bottom"/>
          </w:tcPr>
          <w:p w:rsidR="00C672A9" w:rsidRDefault="00601E93">
            <w:pPr>
              <w:rPr>
                <w:sz w:val="24"/>
              </w:rPr>
            </w:pPr>
            <w:r>
              <w:rPr>
                <w:sz w:val="24"/>
              </w:rPr>
              <w:t xml:space="preserve"> </w:t>
            </w:r>
            <w:bookmarkStart w:id="0" w:name="_GoBack"/>
            <w:bookmarkEnd w:id="0"/>
          </w:p>
        </w:tc>
        <w:tc>
          <w:tcPr>
            <w:tcW w:w="2322" w:type="dxa"/>
            <w:tcBorders>
              <w:bottom w:val="single" w:sz="4" w:space="0" w:color="000000"/>
            </w:tcBorders>
            <w:vAlign w:val="bottom"/>
          </w:tcPr>
          <w:p w:rsidR="00C672A9" w:rsidRDefault="00601E93">
            <w:pPr>
              <w:rPr>
                <w:sz w:val="24"/>
              </w:rPr>
            </w:pPr>
            <w:r>
              <w:rPr>
                <w:sz w:val="24"/>
              </w:rPr>
              <w:t xml:space="preserve"> </w:t>
            </w:r>
          </w:p>
        </w:tc>
        <w:tc>
          <w:tcPr>
            <w:tcW w:w="1077" w:type="dxa"/>
            <w:vMerge/>
          </w:tcPr>
          <w:p w:rsidR="00C672A9" w:rsidRDefault="00C672A9"/>
        </w:tc>
        <w:tc>
          <w:tcPr>
            <w:tcW w:w="4989" w:type="dxa"/>
            <w:vMerge/>
          </w:tcPr>
          <w:p w:rsidR="00C672A9" w:rsidRDefault="00C672A9"/>
        </w:tc>
      </w:tr>
      <w:tr w:rsidR="00C672A9">
        <w:trPr>
          <w:trHeight w:hRule="exact" w:val="227"/>
        </w:trPr>
        <w:tc>
          <w:tcPr>
            <w:tcW w:w="1414" w:type="dxa"/>
            <w:gridSpan w:val="2"/>
            <w:tcBorders>
              <w:top w:val="single" w:sz="4" w:space="0" w:color="000000"/>
            </w:tcBorders>
            <w:vAlign w:val="bottom"/>
          </w:tcPr>
          <w:p w:rsidR="00C672A9" w:rsidRDefault="00C672A9">
            <w:pPr>
              <w:jc w:val="center"/>
              <w:rPr>
                <w:sz w:val="10"/>
              </w:rPr>
            </w:pPr>
          </w:p>
        </w:tc>
        <w:tc>
          <w:tcPr>
            <w:tcW w:w="404" w:type="dxa"/>
            <w:vAlign w:val="bottom"/>
          </w:tcPr>
          <w:p w:rsidR="00C672A9" w:rsidRDefault="00C672A9">
            <w:pPr>
              <w:jc w:val="center"/>
              <w:rPr>
                <w:sz w:val="10"/>
              </w:rPr>
            </w:pPr>
          </w:p>
        </w:tc>
        <w:tc>
          <w:tcPr>
            <w:tcW w:w="2322" w:type="dxa"/>
            <w:tcBorders>
              <w:top w:val="single" w:sz="4" w:space="0" w:color="000000"/>
            </w:tcBorders>
            <w:vAlign w:val="bottom"/>
          </w:tcPr>
          <w:p w:rsidR="00C672A9" w:rsidRDefault="00C672A9">
            <w:pPr>
              <w:jc w:val="center"/>
              <w:rPr>
                <w:sz w:val="10"/>
              </w:rPr>
            </w:pPr>
          </w:p>
        </w:tc>
        <w:tc>
          <w:tcPr>
            <w:tcW w:w="1077" w:type="dxa"/>
            <w:vMerge/>
          </w:tcPr>
          <w:p w:rsidR="00C672A9" w:rsidRDefault="00C672A9"/>
        </w:tc>
        <w:tc>
          <w:tcPr>
            <w:tcW w:w="4989" w:type="dxa"/>
            <w:vMerge/>
          </w:tcPr>
          <w:p w:rsidR="00C672A9" w:rsidRDefault="00C672A9"/>
        </w:tc>
      </w:tr>
      <w:tr w:rsidR="00C672A9">
        <w:trPr>
          <w:trHeight w:hRule="exact" w:val="381"/>
        </w:trPr>
        <w:tc>
          <w:tcPr>
            <w:tcW w:w="909" w:type="dxa"/>
            <w:vAlign w:val="bottom"/>
          </w:tcPr>
          <w:p w:rsidR="00C672A9" w:rsidRDefault="00601E93">
            <w:pPr>
              <w:rPr>
                <w:sz w:val="24"/>
              </w:rPr>
            </w:pPr>
            <w:r>
              <w:rPr>
                <w:sz w:val="24"/>
              </w:rPr>
              <w:t xml:space="preserve"> </w:t>
            </w:r>
          </w:p>
        </w:tc>
        <w:tc>
          <w:tcPr>
            <w:tcW w:w="3231" w:type="dxa"/>
            <w:gridSpan w:val="3"/>
            <w:tcBorders>
              <w:bottom w:val="single" w:sz="4" w:space="0" w:color="000000"/>
            </w:tcBorders>
            <w:vAlign w:val="bottom"/>
          </w:tcPr>
          <w:p w:rsidR="00C672A9" w:rsidRDefault="00C672A9">
            <w:pPr>
              <w:rPr>
                <w:sz w:val="24"/>
              </w:rPr>
            </w:pPr>
          </w:p>
        </w:tc>
        <w:tc>
          <w:tcPr>
            <w:tcW w:w="1077" w:type="dxa"/>
            <w:vMerge/>
          </w:tcPr>
          <w:p w:rsidR="00C672A9" w:rsidRDefault="00C672A9"/>
        </w:tc>
        <w:tc>
          <w:tcPr>
            <w:tcW w:w="4989" w:type="dxa"/>
            <w:vMerge/>
          </w:tcPr>
          <w:p w:rsidR="00C672A9" w:rsidRDefault="00C672A9"/>
        </w:tc>
      </w:tr>
      <w:tr w:rsidR="00C672A9">
        <w:trPr>
          <w:trHeight w:hRule="exact" w:val="227"/>
        </w:trPr>
        <w:tc>
          <w:tcPr>
            <w:tcW w:w="909" w:type="dxa"/>
            <w:vAlign w:val="bottom"/>
          </w:tcPr>
          <w:p w:rsidR="00C672A9" w:rsidRDefault="00C672A9">
            <w:pPr>
              <w:jc w:val="center"/>
              <w:rPr>
                <w:b/>
                <w:sz w:val="10"/>
              </w:rPr>
            </w:pPr>
          </w:p>
        </w:tc>
        <w:tc>
          <w:tcPr>
            <w:tcW w:w="3231" w:type="dxa"/>
            <w:gridSpan w:val="3"/>
            <w:tcBorders>
              <w:top w:val="single" w:sz="4" w:space="0" w:color="000000"/>
            </w:tcBorders>
            <w:vAlign w:val="bottom"/>
          </w:tcPr>
          <w:p w:rsidR="00C672A9" w:rsidRDefault="00C672A9">
            <w:pPr>
              <w:jc w:val="center"/>
              <w:rPr>
                <w:b/>
                <w:sz w:val="10"/>
              </w:rPr>
            </w:pPr>
          </w:p>
        </w:tc>
        <w:tc>
          <w:tcPr>
            <w:tcW w:w="1077" w:type="dxa"/>
            <w:vMerge/>
          </w:tcPr>
          <w:p w:rsidR="00C672A9" w:rsidRDefault="00C672A9"/>
        </w:tc>
        <w:tc>
          <w:tcPr>
            <w:tcW w:w="4989" w:type="dxa"/>
            <w:vMerge/>
          </w:tcPr>
          <w:p w:rsidR="00C672A9" w:rsidRDefault="00C672A9"/>
        </w:tc>
      </w:tr>
    </w:tbl>
    <w:p w:rsidR="00C672A9" w:rsidRDefault="00601E93">
      <w:pPr>
        <w:ind w:firstLine="709"/>
        <w:jc w:val="both"/>
        <w:rPr>
          <w:sz w:val="28"/>
        </w:rPr>
      </w:pPr>
      <w:r>
        <w:rPr>
          <w:sz w:val="22"/>
        </w:rPr>
        <w:t xml:space="preserve"> </w:t>
      </w:r>
    </w:p>
    <w:p w:rsidR="00C672A9" w:rsidRPr="00A93BD5" w:rsidRDefault="00C672A9">
      <w:pPr>
        <w:ind w:firstLine="709"/>
        <w:jc w:val="both"/>
        <w:rPr>
          <w:sz w:val="28"/>
          <w:szCs w:val="28"/>
        </w:rPr>
      </w:pPr>
    </w:p>
    <w:p w:rsidR="00CE3CF9" w:rsidRPr="00984C6E" w:rsidRDefault="00601E93" w:rsidP="00CE3CF9">
      <w:pPr>
        <w:shd w:val="clear" w:color="auto" w:fill="FFFFFF"/>
        <w:ind w:firstLine="709"/>
        <w:jc w:val="center"/>
        <w:rPr>
          <w:b/>
          <w:bCs/>
          <w:color w:val="405965"/>
          <w:sz w:val="28"/>
          <w:szCs w:val="28"/>
        </w:rPr>
      </w:pPr>
      <w:r>
        <w:rPr>
          <w:sz w:val="22"/>
          <w:szCs w:val="22"/>
        </w:rPr>
        <w:t xml:space="preserve"> </w:t>
      </w:r>
    </w:p>
    <w:p w:rsidR="00CE3CF9" w:rsidRPr="00546E31" w:rsidRDefault="00CE3CF9" w:rsidP="00CE3CF9">
      <w:pPr>
        <w:shd w:val="clear" w:color="auto" w:fill="FFFFFF"/>
        <w:ind w:firstLine="709"/>
        <w:jc w:val="center"/>
        <w:rPr>
          <w:b/>
          <w:bCs/>
          <w:sz w:val="24"/>
          <w:szCs w:val="24"/>
        </w:rPr>
      </w:pPr>
      <w:r w:rsidRPr="00546E31">
        <w:rPr>
          <w:b/>
          <w:bCs/>
          <w:sz w:val="24"/>
          <w:szCs w:val="24"/>
        </w:rPr>
        <w:t>Особенности декларирования доходов от продажи объектов недвижимого имущества</w:t>
      </w:r>
    </w:p>
    <w:p w:rsidR="00CE3CF9" w:rsidRPr="00546E31" w:rsidRDefault="00CE3CF9" w:rsidP="00CE3CF9">
      <w:pPr>
        <w:shd w:val="clear" w:color="auto" w:fill="FFFFFF"/>
        <w:ind w:firstLine="709"/>
        <w:jc w:val="center"/>
        <w:rPr>
          <w:b/>
          <w:sz w:val="24"/>
          <w:szCs w:val="24"/>
        </w:rPr>
      </w:pPr>
    </w:p>
    <w:p w:rsidR="00CE3CF9" w:rsidRPr="00CE3CF9" w:rsidRDefault="00CE3CF9" w:rsidP="00CE3CF9">
      <w:pPr>
        <w:shd w:val="clear" w:color="auto" w:fill="FFFFFF"/>
        <w:ind w:firstLine="709"/>
        <w:jc w:val="both"/>
        <w:rPr>
          <w:b/>
          <w:sz w:val="22"/>
          <w:szCs w:val="22"/>
        </w:rPr>
      </w:pPr>
      <w:r w:rsidRPr="00CE3CF9">
        <w:rPr>
          <w:b/>
          <w:sz w:val="22"/>
          <w:szCs w:val="22"/>
        </w:rPr>
        <w:t>Для объектов недвижимого имущества приобретенных в собственность после 01.01.2016г.</w:t>
      </w:r>
    </w:p>
    <w:p w:rsidR="00CE3CF9" w:rsidRPr="00CE3CF9" w:rsidRDefault="00CE3CF9" w:rsidP="00CE3CF9">
      <w:pPr>
        <w:shd w:val="clear" w:color="auto" w:fill="FFFFFF"/>
        <w:ind w:firstLine="709"/>
        <w:jc w:val="both"/>
        <w:rPr>
          <w:sz w:val="22"/>
          <w:szCs w:val="22"/>
        </w:rPr>
      </w:pPr>
      <w:r w:rsidRPr="00CE3CF9">
        <w:rPr>
          <w:sz w:val="22"/>
          <w:szCs w:val="22"/>
        </w:rPr>
        <w:t>Доходы, получаемые налогоплательщиком от продажи объекта недвижимого имущества, освобождаются от налогообложения (и декларирования) при условии, что такой объект находился в собственности налогоплательщика в течение минимального предельного срока владения объектом недвижимого имущества и более.</w:t>
      </w:r>
    </w:p>
    <w:p w:rsidR="00CE3CF9" w:rsidRPr="00CE3CF9" w:rsidRDefault="00CE3CF9" w:rsidP="00CE3CF9">
      <w:pPr>
        <w:shd w:val="clear" w:color="auto" w:fill="FFFFFF"/>
        <w:ind w:firstLine="709"/>
        <w:jc w:val="both"/>
        <w:rPr>
          <w:sz w:val="22"/>
          <w:szCs w:val="22"/>
        </w:rPr>
      </w:pPr>
      <w:r w:rsidRPr="00CE3CF9">
        <w:rPr>
          <w:sz w:val="22"/>
          <w:szCs w:val="22"/>
        </w:rPr>
        <w:t>Минимальный предельный срок владения объектом недвижимого имущества составляет </w:t>
      </w:r>
      <w:r w:rsidRPr="00CE3CF9">
        <w:rPr>
          <w:b/>
          <w:bCs/>
          <w:sz w:val="22"/>
          <w:szCs w:val="22"/>
        </w:rPr>
        <w:t>3 года</w:t>
      </w:r>
      <w:r w:rsidRPr="00CE3CF9">
        <w:rPr>
          <w:sz w:val="22"/>
          <w:szCs w:val="22"/>
        </w:rPr>
        <w:t> для объектов недвижимого имущества, в отношении которых соблюдается хотя бы одно из следующих условий:</w:t>
      </w:r>
    </w:p>
    <w:p w:rsidR="00CE3CF9" w:rsidRPr="00CE3CF9" w:rsidRDefault="00CE3CF9" w:rsidP="00CE3CF9">
      <w:pPr>
        <w:numPr>
          <w:ilvl w:val="0"/>
          <w:numId w:val="7"/>
        </w:numPr>
        <w:shd w:val="clear" w:color="auto" w:fill="FFFFFF"/>
        <w:ind w:left="0" w:firstLine="709"/>
        <w:jc w:val="both"/>
        <w:rPr>
          <w:sz w:val="22"/>
          <w:szCs w:val="22"/>
        </w:rPr>
      </w:pPr>
      <w:r w:rsidRPr="00CE3CF9">
        <w:rPr>
          <w:sz w:val="22"/>
          <w:szCs w:val="22"/>
        </w:rPr>
        <w:t>право собственности на объект получено налогоплательщиком в порядке наследования или по договору дарения от физического лица, признаваемого членом семьи и (или) близким родственником этого налогоплательщика в соответствии с Семейным кодексом Российской Федерации;</w:t>
      </w:r>
    </w:p>
    <w:p w:rsidR="00CE3CF9" w:rsidRPr="00CE3CF9" w:rsidRDefault="00CE3CF9" w:rsidP="00CE3CF9">
      <w:pPr>
        <w:numPr>
          <w:ilvl w:val="0"/>
          <w:numId w:val="7"/>
        </w:numPr>
        <w:shd w:val="clear" w:color="auto" w:fill="FFFFFF"/>
        <w:ind w:left="0" w:firstLine="709"/>
        <w:jc w:val="both"/>
        <w:rPr>
          <w:sz w:val="22"/>
          <w:szCs w:val="22"/>
        </w:rPr>
      </w:pPr>
      <w:r w:rsidRPr="00CE3CF9">
        <w:rPr>
          <w:sz w:val="22"/>
          <w:szCs w:val="22"/>
        </w:rPr>
        <w:t>право собственности на объект получено налогоплательщиком в результате приватизации;</w:t>
      </w:r>
    </w:p>
    <w:p w:rsidR="00CE3CF9" w:rsidRPr="00CE3CF9" w:rsidRDefault="00CE3CF9" w:rsidP="00CE3CF9">
      <w:pPr>
        <w:numPr>
          <w:ilvl w:val="0"/>
          <w:numId w:val="7"/>
        </w:numPr>
        <w:shd w:val="clear" w:color="auto" w:fill="FFFFFF"/>
        <w:ind w:left="0" w:firstLine="709"/>
        <w:jc w:val="both"/>
        <w:rPr>
          <w:sz w:val="22"/>
          <w:szCs w:val="22"/>
        </w:rPr>
      </w:pPr>
      <w:r w:rsidRPr="00CE3CF9">
        <w:rPr>
          <w:sz w:val="22"/>
          <w:szCs w:val="22"/>
        </w:rPr>
        <w:t>право собственности на объект получено налогоплательщиком - плательщиком ренты в результате передачи имущества по договору пожизненного содержания с иждивением;</w:t>
      </w:r>
    </w:p>
    <w:p w:rsidR="00CE3CF9" w:rsidRPr="00CE3CF9" w:rsidRDefault="00CE3CF9" w:rsidP="00CE3CF9">
      <w:pPr>
        <w:numPr>
          <w:ilvl w:val="0"/>
          <w:numId w:val="7"/>
        </w:numPr>
        <w:shd w:val="clear" w:color="auto" w:fill="FFFFFF"/>
        <w:ind w:left="0" w:firstLine="709"/>
        <w:jc w:val="both"/>
        <w:rPr>
          <w:sz w:val="22"/>
          <w:szCs w:val="22"/>
        </w:rPr>
      </w:pPr>
      <w:proofErr w:type="gramStart"/>
      <w:r w:rsidRPr="00CE3CF9">
        <w:rPr>
          <w:sz w:val="22"/>
          <w:szCs w:val="22"/>
        </w:rPr>
        <w:t>в собственности налогоплательщика (включая совместную собственность супругов) на дату государственной регистрации перехода права собственности от налогоплательщика к покупателю на проданный объект недвижимого имущества в виде комнаты, квартиры, жилого дома, части квартиры, части жилого дома (далее - жилое помещение) или доли в праве собственности на жилое помещение не находится иного жилого помещения (доли в праве собственности на жилое помещение).</w:t>
      </w:r>
      <w:proofErr w:type="gramEnd"/>
    </w:p>
    <w:p w:rsidR="00CE3CF9" w:rsidRPr="00CE3CF9" w:rsidRDefault="00CE3CF9" w:rsidP="00CE3CF9">
      <w:pPr>
        <w:shd w:val="clear" w:color="auto" w:fill="FFFFFF"/>
        <w:ind w:firstLine="709"/>
        <w:jc w:val="both"/>
        <w:rPr>
          <w:sz w:val="22"/>
          <w:szCs w:val="22"/>
        </w:rPr>
      </w:pPr>
      <w:r w:rsidRPr="00CE3CF9">
        <w:rPr>
          <w:sz w:val="22"/>
          <w:szCs w:val="22"/>
        </w:rPr>
        <w:t>При этом не учитывается жилое помещение (доля в нем), приобретенное в собственность налогоплательщика и (или) его супруга в течение 90 календарных дней до даты государственной регистрации перехода права собственности на проданное жилое помещение (долю в нем) от налогоплательщика к покупателю.</w:t>
      </w:r>
    </w:p>
    <w:p w:rsidR="00CE3CF9" w:rsidRPr="00CE3CF9" w:rsidRDefault="00CE3CF9" w:rsidP="00CE3CF9">
      <w:pPr>
        <w:shd w:val="clear" w:color="auto" w:fill="FFFFFF"/>
        <w:ind w:firstLine="709"/>
        <w:jc w:val="both"/>
        <w:rPr>
          <w:sz w:val="22"/>
          <w:szCs w:val="22"/>
        </w:rPr>
      </w:pPr>
      <w:r w:rsidRPr="00CE3CF9">
        <w:rPr>
          <w:sz w:val="22"/>
          <w:szCs w:val="22"/>
        </w:rPr>
        <w:t>В иных случаях минимальный предельный срок владения объектом недвижимого имущества составляет </w:t>
      </w:r>
      <w:r w:rsidRPr="00CE3CF9">
        <w:rPr>
          <w:b/>
          <w:bCs/>
          <w:sz w:val="22"/>
          <w:szCs w:val="22"/>
        </w:rPr>
        <w:t>5 лет</w:t>
      </w:r>
      <w:r w:rsidRPr="00CE3CF9">
        <w:rPr>
          <w:sz w:val="22"/>
          <w:szCs w:val="22"/>
        </w:rPr>
        <w:t>.</w:t>
      </w:r>
    </w:p>
    <w:p w:rsidR="00CE3CF9" w:rsidRPr="00CE3CF9" w:rsidRDefault="00CE3CF9" w:rsidP="00CE3CF9">
      <w:pPr>
        <w:shd w:val="clear" w:color="auto" w:fill="FFFFFF"/>
        <w:ind w:firstLine="709"/>
        <w:jc w:val="both"/>
        <w:rPr>
          <w:sz w:val="22"/>
          <w:szCs w:val="22"/>
        </w:rPr>
      </w:pPr>
      <w:r w:rsidRPr="00CE3CF9">
        <w:rPr>
          <w:b/>
          <w:sz w:val="22"/>
          <w:szCs w:val="22"/>
        </w:rPr>
        <w:t>Для объектов недвижимого имущества, приобретенных в собственность до 01.01.2016</w:t>
      </w:r>
      <w:r w:rsidRPr="00CE3CF9">
        <w:rPr>
          <w:sz w:val="22"/>
          <w:szCs w:val="22"/>
        </w:rPr>
        <w:t xml:space="preserve">, а также для иного имущества (гараж, автомобиль и </w:t>
      </w:r>
      <w:proofErr w:type="spellStart"/>
      <w:r w:rsidRPr="00CE3CF9">
        <w:rPr>
          <w:sz w:val="22"/>
          <w:szCs w:val="22"/>
        </w:rPr>
        <w:t>тд</w:t>
      </w:r>
      <w:proofErr w:type="spellEnd"/>
      <w:r w:rsidRPr="00CE3CF9">
        <w:rPr>
          <w:sz w:val="22"/>
          <w:szCs w:val="22"/>
        </w:rPr>
        <w:t>.) – минимальный срок владения составляет </w:t>
      </w:r>
      <w:r w:rsidRPr="00CE3CF9">
        <w:rPr>
          <w:b/>
          <w:bCs/>
          <w:sz w:val="22"/>
          <w:szCs w:val="22"/>
        </w:rPr>
        <w:t>3 года</w:t>
      </w:r>
      <w:r w:rsidRPr="00CE3CF9">
        <w:rPr>
          <w:sz w:val="22"/>
          <w:szCs w:val="22"/>
        </w:rPr>
        <w:t>.</w:t>
      </w:r>
    </w:p>
    <w:p w:rsidR="00CE3CF9" w:rsidRPr="00CE3CF9" w:rsidRDefault="00CE3CF9" w:rsidP="00CE3CF9">
      <w:pPr>
        <w:shd w:val="clear" w:color="auto" w:fill="FFFFFF"/>
        <w:ind w:firstLine="709"/>
        <w:jc w:val="both"/>
        <w:rPr>
          <w:sz w:val="22"/>
          <w:szCs w:val="22"/>
        </w:rPr>
      </w:pPr>
      <w:r w:rsidRPr="00CE3CF9">
        <w:rPr>
          <w:sz w:val="22"/>
          <w:szCs w:val="22"/>
        </w:rPr>
        <w:t>В случае</w:t>
      </w:r>
      <w:proofErr w:type="gramStart"/>
      <w:r w:rsidRPr="00CE3CF9">
        <w:rPr>
          <w:sz w:val="22"/>
          <w:szCs w:val="22"/>
        </w:rPr>
        <w:t>,</w:t>
      </w:r>
      <w:proofErr w:type="gramEnd"/>
      <w:r w:rsidRPr="00CE3CF9">
        <w:rPr>
          <w:sz w:val="22"/>
          <w:szCs w:val="22"/>
        </w:rPr>
        <w:t xml:space="preserve"> если доход от продажи объекта недвижимого имущества ниже чем 70% от кадастровой стоимости этого объекта на 1 января года продажи, то в целях налогообложения такие доходы налогоплательщика принимаются равными кадастровой стоимости этого объекта, умноженной на коэффициент 0,7.</w:t>
      </w:r>
    </w:p>
    <w:p w:rsidR="00CE3CF9" w:rsidRPr="00CE3CF9" w:rsidRDefault="00CE3CF9" w:rsidP="00CE3CF9">
      <w:pPr>
        <w:shd w:val="clear" w:color="auto" w:fill="FFFFFF"/>
        <w:ind w:firstLine="709"/>
        <w:jc w:val="both"/>
        <w:rPr>
          <w:sz w:val="22"/>
          <w:szCs w:val="22"/>
        </w:rPr>
      </w:pPr>
      <w:r w:rsidRPr="00CE3CF9">
        <w:rPr>
          <w:sz w:val="22"/>
          <w:szCs w:val="22"/>
        </w:rPr>
        <w:t>1000 000 рублей – максимальная сумма налогового вычета, на который может быть уменьшен доход, полученный при продаже жилых домов, квартир, комнат, дач, садовых домиков, земельных участков, а также долей в указанном имуществе;</w:t>
      </w:r>
    </w:p>
    <w:p w:rsidR="00CE3CF9" w:rsidRPr="00CE3CF9" w:rsidRDefault="00CE3CF9" w:rsidP="00CE3CF9">
      <w:pPr>
        <w:shd w:val="clear" w:color="auto" w:fill="FFFFFF"/>
        <w:ind w:firstLine="709"/>
        <w:jc w:val="both"/>
        <w:rPr>
          <w:sz w:val="22"/>
          <w:szCs w:val="22"/>
        </w:rPr>
      </w:pPr>
      <w:r w:rsidRPr="00CE3CF9">
        <w:rPr>
          <w:sz w:val="22"/>
          <w:szCs w:val="22"/>
        </w:rPr>
        <w:t xml:space="preserve"> 250 000 рублей – максимальная сумма налогового вычета, на который может быть уменьшен доход, полученный при продаже иного имущества, (автомобили, нежилые помещения, гаражи и прочие предметы).</w:t>
      </w:r>
    </w:p>
    <w:p w:rsidR="00CE3CF9" w:rsidRPr="00CE3CF9" w:rsidRDefault="00CE3CF9" w:rsidP="00CE3CF9">
      <w:pPr>
        <w:shd w:val="clear" w:color="auto" w:fill="FFFFFF"/>
        <w:ind w:firstLine="709"/>
        <w:jc w:val="both"/>
        <w:rPr>
          <w:sz w:val="22"/>
          <w:szCs w:val="22"/>
        </w:rPr>
      </w:pPr>
      <w:r w:rsidRPr="00CE3CF9">
        <w:rPr>
          <w:sz w:val="22"/>
          <w:szCs w:val="22"/>
        </w:rPr>
        <w:lastRenderedPageBreak/>
        <w:t>Вместо применения имущественного вычета налогоплательщик имеет право уменьшить величину дохода, полученного от продажи имущества, на фактически произведённые и документально подтверждённые расходы, непосредственно связанные с приобретением этого имущества. В определенных ситуациях это может быть выгоднее, чем применять имущественный вычет.</w:t>
      </w:r>
    </w:p>
    <w:p w:rsidR="00CE3CF9" w:rsidRPr="00CE3CF9" w:rsidRDefault="00CE3CF9" w:rsidP="00CE3CF9">
      <w:pPr>
        <w:shd w:val="clear" w:color="auto" w:fill="FFFFFF"/>
        <w:ind w:firstLine="709"/>
        <w:jc w:val="both"/>
        <w:rPr>
          <w:sz w:val="22"/>
          <w:szCs w:val="22"/>
        </w:rPr>
      </w:pPr>
      <w:r w:rsidRPr="00CE3CF9">
        <w:rPr>
          <w:sz w:val="22"/>
          <w:szCs w:val="22"/>
        </w:rPr>
        <w:t>При реализации имущества, находящегося в общей долевой либо общей совместной собственности, соответствующий размер имущественного налогового вычета (1 000 000 рублей или 250 000 рублей) распределяется между совладельцами этого имущества пропорционально их доле либо по договоренности между ними (в случае реализации имущества, находящегося в общей совместной собственности).</w:t>
      </w:r>
    </w:p>
    <w:p w:rsidR="00CE3CF9" w:rsidRPr="00CE3CF9" w:rsidRDefault="00CE3CF9" w:rsidP="00CE3CF9">
      <w:pPr>
        <w:shd w:val="clear" w:color="auto" w:fill="FFFFFF"/>
        <w:ind w:firstLine="709"/>
        <w:jc w:val="both"/>
        <w:rPr>
          <w:sz w:val="22"/>
          <w:szCs w:val="22"/>
        </w:rPr>
      </w:pPr>
      <w:r w:rsidRPr="00CE3CF9">
        <w:rPr>
          <w:sz w:val="22"/>
          <w:szCs w:val="22"/>
        </w:rPr>
        <w:t>Если налогоплательщиком за один год было продано несколько объектов имущества, указанные пределы применяются в совокупности по всем проданным объектам, а не по каждому объекту по отдельности.</w:t>
      </w:r>
    </w:p>
    <w:p w:rsidR="00CE3CF9" w:rsidRPr="00CE3CF9" w:rsidRDefault="00CE3CF9" w:rsidP="00CE3CF9">
      <w:pPr>
        <w:shd w:val="clear" w:color="auto" w:fill="FFFFFF"/>
        <w:ind w:firstLine="709"/>
        <w:jc w:val="both"/>
        <w:rPr>
          <w:sz w:val="22"/>
          <w:szCs w:val="22"/>
        </w:rPr>
      </w:pPr>
      <w:r w:rsidRPr="00CE3CF9">
        <w:rPr>
          <w:sz w:val="22"/>
          <w:szCs w:val="22"/>
        </w:rPr>
        <w:t>В случае если полученные от продажи имущества суммы не превышают указанные пределы, то обязанность по представлению декларации сохраняется, а обязанность по уплате налога не возникает.</w:t>
      </w:r>
    </w:p>
    <w:p w:rsidR="00CE3CF9" w:rsidRDefault="00CE3CF9" w:rsidP="00314FE6">
      <w:pPr>
        <w:ind w:firstLine="709"/>
        <w:jc w:val="both"/>
        <w:rPr>
          <w:sz w:val="22"/>
          <w:szCs w:val="22"/>
        </w:rPr>
      </w:pPr>
    </w:p>
    <w:p w:rsidR="00A93BD5" w:rsidRPr="00351D00" w:rsidRDefault="00A93BD5" w:rsidP="00314FE6">
      <w:pPr>
        <w:ind w:firstLine="709"/>
        <w:jc w:val="both"/>
        <w:rPr>
          <w:sz w:val="22"/>
          <w:szCs w:val="22"/>
        </w:rPr>
      </w:pPr>
      <w:r w:rsidRPr="00351D00">
        <w:rPr>
          <w:sz w:val="22"/>
          <w:szCs w:val="22"/>
        </w:rPr>
        <w:t>Благодарим за сотрудничество.</w:t>
      </w:r>
    </w:p>
    <w:p w:rsidR="00311D60" w:rsidRPr="00351D00" w:rsidRDefault="00311D60" w:rsidP="00314FE6">
      <w:pPr>
        <w:ind w:firstLine="709"/>
        <w:jc w:val="both"/>
        <w:rPr>
          <w:sz w:val="22"/>
          <w:szCs w:val="22"/>
        </w:rPr>
      </w:pPr>
    </w:p>
    <w:p w:rsidR="008543A8" w:rsidRPr="00351D00" w:rsidRDefault="008543A8" w:rsidP="00314FE6">
      <w:pPr>
        <w:ind w:firstLine="709"/>
        <w:jc w:val="both"/>
        <w:rPr>
          <w:sz w:val="22"/>
          <w:szCs w:val="22"/>
        </w:rPr>
      </w:pPr>
    </w:p>
    <w:p w:rsidR="008543A8" w:rsidRPr="00351D00" w:rsidRDefault="008543A8" w:rsidP="00314FE6">
      <w:pPr>
        <w:ind w:firstLine="709"/>
        <w:jc w:val="both"/>
        <w:rPr>
          <w:sz w:val="22"/>
          <w:szCs w:val="22"/>
        </w:rPr>
      </w:pPr>
      <w:r w:rsidRPr="00351D00">
        <w:rPr>
          <w:sz w:val="22"/>
          <w:szCs w:val="22"/>
        </w:rPr>
        <w:t xml:space="preserve">Советник </w:t>
      </w:r>
      <w:proofErr w:type="gramStart"/>
      <w:r w:rsidRPr="00351D00">
        <w:rPr>
          <w:sz w:val="22"/>
          <w:szCs w:val="22"/>
        </w:rPr>
        <w:t>государственной</w:t>
      </w:r>
      <w:proofErr w:type="gramEnd"/>
      <w:r w:rsidRPr="00351D00">
        <w:rPr>
          <w:sz w:val="22"/>
          <w:szCs w:val="22"/>
        </w:rPr>
        <w:t xml:space="preserve"> гражданской</w:t>
      </w:r>
    </w:p>
    <w:p w:rsidR="00A93BD5" w:rsidRPr="00351D00" w:rsidRDefault="008543A8" w:rsidP="00314FE6">
      <w:pPr>
        <w:ind w:firstLine="709"/>
        <w:jc w:val="both"/>
        <w:rPr>
          <w:sz w:val="22"/>
          <w:szCs w:val="22"/>
        </w:rPr>
      </w:pPr>
      <w:r w:rsidRPr="00351D00">
        <w:rPr>
          <w:sz w:val="22"/>
          <w:szCs w:val="22"/>
        </w:rPr>
        <w:t>службы Российской Федерации 2 класса</w:t>
      </w:r>
      <w:r w:rsidRPr="00351D00">
        <w:rPr>
          <w:sz w:val="22"/>
          <w:szCs w:val="22"/>
        </w:rPr>
        <w:tab/>
        <w:t xml:space="preserve">                               </w:t>
      </w:r>
      <w:r w:rsidR="00BC2E12">
        <w:rPr>
          <w:sz w:val="22"/>
          <w:szCs w:val="22"/>
        </w:rPr>
        <w:t xml:space="preserve">            </w:t>
      </w:r>
      <w:r w:rsidRPr="00351D00">
        <w:rPr>
          <w:sz w:val="22"/>
          <w:szCs w:val="22"/>
        </w:rPr>
        <w:t xml:space="preserve">   </w:t>
      </w:r>
      <w:proofErr w:type="spellStart"/>
      <w:r w:rsidR="00BC2E12">
        <w:rPr>
          <w:sz w:val="22"/>
          <w:szCs w:val="22"/>
        </w:rPr>
        <w:t>А.А.Дудоладов</w:t>
      </w:r>
      <w:proofErr w:type="spellEnd"/>
    </w:p>
    <w:p w:rsidR="00A93BD5" w:rsidRDefault="00A93BD5" w:rsidP="00314FE6">
      <w:pPr>
        <w:tabs>
          <w:tab w:val="left" w:pos="8222"/>
        </w:tabs>
        <w:ind w:firstLine="709"/>
        <w:rPr>
          <w:sz w:val="22"/>
          <w:szCs w:val="22"/>
        </w:rPr>
      </w:pPr>
    </w:p>
    <w:p w:rsidR="00CE4E2A" w:rsidRPr="00351D00" w:rsidRDefault="00CE4E2A" w:rsidP="00314FE6">
      <w:pPr>
        <w:tabs>
          <w:tab w:val="left" w:pos="8222"/>
        </w:tabs>
        <w:ind w:firstLine="709"/>
        <w:rPr>
          <w:sz w:val="22"/>
          <w:szCs w:val="22"/>
        </w:rPr>
      </w:pPr>
    </w:p>
    <w:p w:rsidR="00C672A9" w:rsidRPr="009F2C53" w:rsidRDefault="00604AD2">
      <w:pPr>
        <w:tabs>
          <w:tab w:val="left" w:pos="8222"/>
        </w:tabs>
        <w:rPr>
          <w:sz w:val="18"/>
          <w:szCs w:val="18"/>
        </w:rPr>
      </w:pPr>
      <w:proofErr w:type="spellStart"/>
      <w:r>
        <w:rPr>
          <w:sz w:val="18"/>
          <w:szCs w:val="18"/>
        </w:rPr>
        <w:t>Олиферова</w:t>
      </w:r>
      <w:proofErr w:type="spellEnd"/>
    </w:p>
    <w:p w:rsidR="00C672A9" w:rsidRPr="009F2C53" w:rsidRDefault="00941488">
      <w:pPr>
        <w:tabs>
          <w:tab w:val="left" w:pos="8222"/>
        </w:tabs>
        <w:rPr>
          <w:sz w:val="18"/>
          <w:szCs w:val="18"/>
        </w:rPr>
      </w:pPr>
      <w:r w:rsidRPr="009F2C53">
        <w:rPr>
          <w:sz w:val="18"/>
          <w:szCs w:val="18"/>
        </w:rPr>
        <w:t>392312</w:t>
      </w:r>
    </w:p>
    <w:sectPr w:rsidR="00C672A9" w:rsidRPr="009F2C53">
      <w:pgSz w:w="11906" w:h="16838"/>
      <w:pgMar w:top="340" w:right="567" w:bottom="36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5CAB"/>
    <w:multiLevelType w:val="hybridMultilevel"/>
    <w:tmpl w:val="C2FCC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543571"/>
    <w:multiLevelType w:val="multilevel"/>
    <w:tmpl w:val="D2A0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CF7941"/>
    <w:multiLevelType w:val="multilevel"/>
    <w:tmpl w:val="2D16F1B2"/>
    <w:lvl w:ilvl="0">
      <w:start w:val="1"/>
      <w:numFmt w:val="bullet"/>
      <w:lvlText w:val=""/>
      <w:lvlJc w:val="left"/>
      <w:pPr>
        <w:tabs>
          <w:tab w:val="num" w:pos="0"/>
        </w:tabs>
        <w:ind w:left="72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F87582"/>
    <w:multiLevelType w:val="multilevel"/>
    <w:tmpl w:val="9BF0F4F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6D9420DF"/>
    <w:multiLevelType w:val="multilevel"/>
    <w:tmpl w:val="812E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0A0FE9"/>
    <w:multiLevelType w:val="multilevel"/>
    <w:tmpl w:val="2140032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74AB085A"/>
    <w:multiLevelType w:val="multilevel"/>
    <w:tmpl w:val="33165690"/>
    <w:lvl w:ilvl="0">
      <w:start w:val="1"/>
      <w:numFmt w:val="bullet"/>
      <w:lvlText w:val=""/>
      <w:lvlJc w:val="left"/>
      <w:pPr>
        <w:tabs>
          <w:tab w:val="num" w:pos="0"/>
        </w:tabs>
        <w:ind w:left="72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C672A9"/>
    <w:rsid w:val="000006DA"/>
    <w:rsid w:val="00045626"/>
    <w:rsid w:val="00093AB7"/>
    <w:rsid w:val="00126E44"/>
    <w:rsid w:val="001828AC"/>
    <w:rsid w:val="00200461"/>
    <w:rsid w:val="002674A2"/>
    <w:rsid w:val="002B0765"/>
    <w:rsid w:val="002E2EAE"/>
    <w:rsid w:val="00311D60"/>
    <w:rsid w:val="00314FE6"/>
    <w:rsid w:val="003318BE"/>
    <w:rsid w:val="00351D00"/>
    <w:rsid w:val="003820AB"/>
    <w:rsid w:val="003D744F"/>
    <w:rsid w:val="004340D3"/>
    <w:rsid w:val="00442E3D"/>
    <w:rsid w:val="004512CB"/>
    <w:rsid w:val="004540FB"/>
    <w:rsid w:val="00454C7A"/>
    <w:rsid w:val="004A552C"/>
    <w:rsid w:val="005B12D2"/>
    <w:rsid w:val="00601E93"/>
    <w:rsid w:val="00604AD2"/>
    <w:rsid w:val="006A3EE6"/>
    <w:rsid w:val="006F7C3E"/>
    <w:rsid w:val="00717357"/>
    <w:rsid w:val="0078157F"/>
    <w:rsid w:val="00816A5C"/>
    <w:rsid w:val="008543A8"/>
    <w:rsid w:val="00862FF2"/>
    <w:rsid w:val="008A2C3B"/>
    <w:rsid w:val="008B5525"/>
    <w:rsid w:val="008B6391"/>
    <w:rsid w:val="00906213"/>
    <w:rsid w:val="00941488"/>
    <w:rsid w:val="00942C1E"/>
    <w:rsid w:val="009F2C53"/>
    <w:rsid w:val="00A00BB3"/>
    <w:rsid w:val="00A9015A"/>
    <w:rsid w:val="00A93BD5"/>
    <w:rsid w:val="00A95274"/>
    <w:rsid w:val="00B673B8"/>
    <w:rsid w:val="00B86FE9"/>
    <w:rsid w:val="00BC2E12"/>
    <w:rsid w:val="00C374ED"/>
    <w:rsid w:val="00C50C8C"/>
    <w:rsid w:val="00C672A9"/>
    <w:rsid w:val="00CB00B3"/>
    <w:rsid w:val="00CE3CF9"/>
    <w:rsid w:val="00CE4E2A"/>
    <w:rsid w:val="00D332B6"/>
    <w:rsid w:val="00D5206A"/>
    <w:rsid w:val="00DC004A"/>
    <w:rsid w:val="00DE38DF"/>
    <w:rsid w:val="00E340F7"/>
    <w:rsid w:val="00E90C41"/>
    <w:rsid w:val="00EA427C"/>
    <w:rsid w:val="00EB6C08"/>
    <w:rsid w:val="00EC4DBA"/>
    <w:rsid w:val="00EC6B01"/>
    <w:rsid w:val="00EF641C"/>
    <w:rsid w:val="00F369AC"/>
    <w:rsid w:val="00FC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6"/>
    </w:rPr>
  </w:style>
  <w:style w:type="paragraph" w:styleId="10">
    <w:name w:val="heading 1"/>
    <w:basedOn w:val="a"/>
    <w:next w:val="a"/>
    <w:link w:val="11"/>
    <w:uiPriority w:val="9"/>
    <w:qFormat/>
    <w:pPr>
      <w:keepNext/>
      <w:keepLines/>
      <w:spacing w:before="480"/>
      <w:outlineLvl w:val="0"/>
    </w:pPr>
    <w:rPr>
      <w:rFonts w:ascii="Cambria" w:hAnsi="Cambria"/>
      <w:b/>
      <w:color w:val="365F91"/>
      <w:sz w:val="28"/>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outlineLvl w:val="2"/>
    </w:pPr>
    <w:rPr>
      <w:b/>
      <w:sz w:val="24"/>
    </w:rPr>
  </w:style>
  <w:style w:type="paragraph" w:styleId="4">
    <w:name w:val="heading 4"/>
    <w:basedOn w:val="a"/>
    <w:next w:val="a"/>
    <w:link w:val="40"/>
    <w:uiPriority w:val="9"/>
    <w:qFormat/>
    <w:pPr>
      <w:keepNext/>
      <w:jc w:val="center"/>
      <w:outlineLvl w:val="3"/>
    </w:pPr>
    <w:rPr>
      <w:b/>
      <w:sz w:val="1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6"/>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12">
    <w:name w:val="Основной шрифт абзаца1"/>
  </w:style>
  <w:style w:type="character" w:customStyle="1" w:styleId="30">
    <w:name w:val="Заголовок 3 Знак"/>
    <w:basedOn w:val="1"/>
    <w:link w:val="3"/>
    <w:rPr>
      <w:b/>
      <w:sz w:val="24"/>
    </w:rPr>
  </w:style>
  <w:style w:type="paragraph" w:customStyle="1" w:styleId="a3">
    <w:name w:val="Обычный текст с отступом"/>
    <w:basedOn w:val="a"/>
    <w:link w:val="a4"/>
    <w:pPr>
      <w:ind w:firstLine="567"/>
      <w:jc w:val="both"/>
    </w:pPr>
    <w:rPr>
      <w:rFonts w:ascii="Arial" w:hAnsi="Arial"/>
      <w:sz w:val="22"/>
    </w:rPr>
  </w:style>
  <w:style w:type="character" w:customStyle="1" w:styleId="a4">
    <w:name w:val="Обычный текст с отступом"/>
    <w:basedOn w:val="1"/>
    <w:link w:val="a3"/>
    <w:rPr>
      <w:rFonts w:ascii="Arial" w:hAnsi="Arial"/>
      <w:sz w:val="22"/>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sz w:val="26"/>
    </w:rPr>
  </w:style>
  <w:style w:type="paragraph" w:styleId="a7">
    <w:name w:val="Balloon Text"/>
    <w:basedOn w:val="a"/>
    <w:link w:val="a8"/>
    <w:rPr>
      <w:rFonts w:ascii="Tahoma" w:hAnsi="Tahoma"/>
      <w:sz w:val="16"/>
    </w:rPr>
  </w:style>
  <w:style w:type="character" w:customStyle="1" w:styleId="a8">
    <w:name w:val="Текст выноски Знак"/>
    <w:basedOn w:val="1"/>
    <w:link w:val="a7"/>
    <w:rPr>
      <w:rFonts w:ascii="Tahoma" w:hAnsi="Tahoma"/>
      <w:sz w:val="16"/>
    </w:rPr>
  </w:style>
  <w:style w:type="paragraph" w:customStyle="1" w:styleId="13">
    <w:name w:val="Номер страницы1"/>
    <w:basedOn w:val="12"/>
    <w:link w:val="a9"/>
  </w:style>
  <w:style w:type="character" w:styleId="a9">
    <w:name w:val="page number"/>
    <w:basedOn w:val="a0"/>
    <w:link w:val="13"/>
  </w:style>
  <w:style w:type="paragraph" w:styleId="31">
    <w:name w:val="toc 3"/>
    <w:next w:val="a"/>
    <w:link w:val="32"/>
    <w:uiPriority w:val="39"/>
    <w:pPr>
      <w:ind w:left="400"/>
    </w:pPr>
  </w:style>
  <w:style w:type="character" w:customStyle="1" w:styleId="32">
    <w:name w:val="Оглавление 3 Знак"/>
    <w:link w:val="31"/>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14">
    <w:name w:val="Строгий1"/>
    <w:link w:val="aa"/>
    <w:rPr>
      <w:b/>
    </w:rPr>
  </w:style>
  <w:style w:type="character" w:styleId="aa">
    <w:name w:val="Strong"/>
    <w:link w:val="14"/>
    <w:rPr>
      <w:b/>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Cambria" w:hAnsi="Cambria"/>
      <w:b/>
      <w:color w:val="365F91"/>
      <w:sz w:val="28"/>
    </w:rPr>
  </w:style>
  <w:style w:type="paragraph" w:customStyle="1" w:styleId="15">
    <w:name w:val="Гиперссылка1"/>
    <w:link w:val="ab"/>
    <w:rPr>
      <w:color w:val="0000FF"/>
      <w:u w:val="single"/>
    </w:rPr>
  </w:style>
  <w:style w:type="character" w:styleId="ab">
    <w:name w:val="Hyperlink"/>
    <w:link w:val="15"/>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ac">
    <w:name w:val="caption"/>
    <w:basedOn w:val="a"/>
    <w:next w:val="a"/>
    <w:link w:val="ad"/>
    <w:pPr>
      <w:spacing w:before="120" w:after="240"/>
      <w:jc w:val="center"/>
    </w:pPr>
    <w:rPr>
      <w:b/>
      <w:sz w:val="24"/>
    </w:rPr>
  </w:style>
  <w:style w:type="character" w:customStyle="1" w:styleId="ad">
    <w:name w:val="Название объекта Знак"/>
    <w:basedOn w:val="1"/>
    <w:link w:val="ac"/>
    <w:rPr>
      <w:b/>
      <w:sz w:val="24"/>
    </w:rPr>
  </w:style>
  <w:style w:type="paragraph" w:styleId="16">
    <w:name w:val="toc 1"/>
    <w:next w:val="a"/>
    <w:link w:val="17"/>
    <w:uiPriority w:val="39"/>
    <w:rPr>
      <w:rFonts w:ascii="XO Thames" w:hAnsi="XO Thames"/>
      <w:b/>
    </w:rPr>
  </w:style>
  <w:style w:type="character" w:customStyle="1" w:styleId="17">
    <w:name w:val="Оглавление 1 Знак"/>
    <w:link w:val="16"/>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ae">
    <w:name w:val="Body Text"/>
    <w:basedOn w:val="a"/>
    <w:link w:val="af"/>
    <w:pPr>
      <w:spacing w:after="120"/>
    </w:pPr>
  </w:style>
  <w:style w:type="character" w:customStyle="1" w:styleId="af">
    <w:name w:val="Основной текст Знак"/>
    <w:basedOn w:val="1"/>
    <w:link w:val="ae"/>
    <w:rPr>
      <w:sz w:val="26"/>
    </w:rPr>
  </w:style>
  <w:style w:type="paragraph" w:styleId="35">
    <w:name w:val="Body Text 3"/>
    <w:basedOn w:val="a"/>
    <w:link w:val="36"/>
    <w:pPr>
      <w:jc w:val="center"/>
    </w:pPr>
    <w:rPr>
      <w:b/>
      <w:sz w:val="28"/>
    </w:rPr>
  </w:style>
  <w:style w:type="character" w:customStyle="1" w:styleId="36">
    <w:name w:val="Основной текст 3 Знак"/>
    <w:basedOn w:val="1"/>
    <w:link w:val="35"/>
    <w:rPr>
      <w:b/>
      <w:sz w:val="28"/>
    </w:rPr>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0">
    <w:name w:val="Normal (Web)"/>
    <w:basedOn w:val="a"/>
    <w:link w:val="af1"/>
    <w:pPr>
      <w:spacing w:beforeAutospacing="1" w:afterAutospacing="1"/>
    </w:pPr>
    <w:rPr>
      <w:sz w:val="24"/>
    </w:rPr>
  </w:style>
  <w:style w:type="character" w:customStyle="1" w:styleId="af1">
    <w:name w:val="Обычный (веб) Знак"/>
    <w:basedOn w:val="1"/>
    <w:link w:val="af0"/>
    <w:rPr>
      <w:sz w:val="24"/>
    </w:rPr>
  </w:style>
  <w:style w:type="paragraph" w:styleId="af2">
    <w:name w:val="Subtitle"/>
    <w:next w:val="a"/>
    <w:link w:val="af3"/>
    <w:uiPriority w:val="11"/>
    <w:qFormat/>
    <w:rPr>
      <w:rFonts w:ascii="XO Thames" w:hAnsi="XO Thames"/>
      <w:i/>
      <w:color w:val="616161"/>
      <w:sz w:val="24"/>
    </w:rPr>
  </w:style>
  <w:style w:type="character" w:customStyle="1" w:styleId="af3">
    <w:name w:val="Подзаголовок Знак"/>
    <w:link w:val="af2"/>
    <w:rPr>
      <w:rFonts w:ascii="XO Thames" w:hAnsi="XO Thames"/>
      <w:i/>
      <w:color w:val="616161"/>
      <w:sz w:val="24"/>
    </w:rPr>
  </w:style>
  <w:style w:type="paragraph" w:customStyle="1" w:styleId="18">
    <w:name w:val="Знак сноски1"/>
    <w:link w:val="af4"/>
    <w:rPr>
      <w:vertAlign w:val="superscript"/>
    </w:rPr>
  </w:style>
  <w:style w:type="character" w:styleId="af4">
    <w:name w:val="footnote reference"/>
    <w:link w:val="18"/>
    <w:rPr>
      <w:vertAlign w:val="superscript"/>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5">
    <w:name w:val="Title"/>
    <w:next w:val="a"/>
    <w:link w:val="af6"/>
    <w:uiPriority w:val="10"/>
    <w:qFormat/>
    <w:rPr>
      <w:rFonts w:ascii="XO Thames" w:hAnsi="XO Thames"/>
      <w:b/>
      <w:sz w:val="52"/>
    </w:rPr>
  </w:style>
  <w:style w:type="character" w:customStyle="1" w:styleId="af6">
    <w:name w:val="Название Знак"/>
    <w:link w:val="af5"/>
    <w:rPr>
      <w:rFonts w:ascii="XO Thames" w:hAnsi="XO Thames"/>
      <w:b/>
      <w:sz w:val="52"/>
    </w:rPr>
  </w:style>
  <w:style w:type="character" w:customStyle="1" w:styleId="40">
    <w:name w:val="Заголовок 4 Знак"/>
    <w:basedOn w:val="1"/>
    <w:link w:val="4"/>
    <w:rPr>
      <w:b/>
      <w:sz w:val="16"/>
    </w:rPr>
  </w:style>
  <w:style w:type="character" w:customStyle="1" w:styleId="20">
    <w:name w:val="Заголовок 2 Знак"/>
    <w:basedOn w:val="1"/>
    <w:link w:val="2"/>
    <w:rPr>
      <w:rFonts w:ascii="Arial" w:hAnsi="Arial"/>
      <w:b/>
      <w:i/>
      <w:sz w:val="28"/>
    </w:rPr>
  </w:style>
  <w:style w:type="paragraph" w:styleId="af7">
    <w:name w:val="header"/>
    <w:basedOn w:val="a"/>
    <w:link w:val="af8"/>
    <w:pPr>
      <w:tabs>
        <w:tab w:val="center" w:pos="4677"/>
        <w:tab w:val="right" w:pos="9355"/>
      </w:tabs>
    </w:pPr>
    <w:rPr>
      <w:sz w:val="28"/>
    </w:rPr>
  </w:style>
  <w:style w:type="character" w:customStyle="1" w:styleId="af8">
    <w:name w:val="Верхний колонтитул Знак"/>
    <w:basedOn w:val="1"/>
    <w:link w:val="af7"/>
    <w:rPr>
      <w:sz w:val="28"/>
    </w:rPr>
  </w:style>
  <w:style w:type="paragraph" w:styleId="af9">
    <w:name w:val="List Paragraph"/>
    <w:basedOn w:val="a"/>
    <w:uiPriority w:val="34"/>
    <w:qFormat/>
    <w:rsid w:val="00EC6B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dc:creator>
  <cp:lastModifiedBy>ENT</cp:lastModifiedBy>
  <cp:revision>3</cp:revision>
  <cp:lastPrinted>2021-09-15T11:07:00Z</cp:lastPrinted>
  <dcterms:created xsi:type="dcterms:W3CDTF">2022-04-11T11:49:00Z</dcterms:created>
  <dcterms:modified xsi:type="dcterms:W3CDTF">2022-04-11T12:17:00Z</dcterms:modified>
</cp:coreProperties>
</file>